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F2" w:rsidRDefault="00355613">
      <w:pPr>
        <w:pStyle w:val="a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КАФЕДРА МЕЖДУНАРОДНОГО ПРАВА</w:t>
      </w:r>
    </w:p>
    <w:p w:rsidR="003C2DF2" w:rsidRDefault="003C2DF2">
      <w:pPr>
        <w:pStyle w:val="a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DF2" w:rsidRDefault="00355613">
      <w:pPr>
        <w:pStyle w:val="a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магистерской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студента магистратуры</w:t>
      </w:r>
    </w:p>
    <w:p w:rsidR="003C2DF2" w:rsidRDefault="00355613">
      <w:pPr>
        <w:pStyle w:val="a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«Международное публичное право, европейское право»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Бурачевской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Вероники Викторовны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Тема диссертации: «Постоянная палата третейского суда в Гааге»</w:t>
      </w:r>
      <w:r>
        <w:rPr>
          <w:sz w:val="28"/>
          <w:szCs w:val="28"/>
        </w:rPr>
        <w:br/>
      </w:r>
    </w:p>
    <w:p w:rsidR="003C2DF2" w:rsidRDefault="00355613" w:rsidP="00355613">
      <w:pPr>
        <w:pStyle w:val="a0"/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исследования:</w:t>
      </w:r>
    </w:p>
    <w:p w:rsidR="003C2DF2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третейск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Гааге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);</w:t>
      </w:r>
    </w:p>
    <w:p w:rsidR="003C2DF2" w:rsidRPr="00355613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рассмотренным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;</w:t>
      </w:r>
    </w:p>
    <w:p w:rsidR="00355613" w:rsidRPr="00355613" w:rsidRDefault="00355613" w:rsidP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 w:rsidRPr="00355613"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влияния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на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развитие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межд</w:t>
      </w:r>
      <w:r w:rsidRPr="00355613">
        <w:rPr>
          <w:rFonts w:hAnsi="Times New Roman"/>
          <w:sz w:val="28"/>
          <w:szCs w:val="28"/>
        </w:rPr>
        <w:t>у</w:t>
      </w:r>
      <w:r w:rsidRPr="00355613">
        <w:rPr>
          <w:rFonts w:hAnsi="Times New Roman"/>
          <w:sz w:val="28"/>
          <w:szCs w:val="28"/>
        </w:rPr>
        <w:t>народного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арбитража</w:t>
      </w:r>
      <w:r w:rsidRPr="00355613">
        <w:rPr>
          <w:rFonts w:ascii="Times New Roman"/>
          <w:sz w:val="28"/>
          <w:szCs w:val="28"/>
        </w:rPr>
        <w:t>.</w:t>
      </w:r>
    </w:p>
    <w:p w:rsidR="003C2DF2" w:rsidRPr="00355613" w:rsidRDefault="00355613" w:rsidP="00EB5CD0">
      <w:pPr>
        <w:pStyle w:val="a0"/>
        <w:spacing w:after="240"/>
        <w:ind w:left="203"/>
        <w:contextualSpacing/>
        <w:jc w:val="both"/>
        <w:rPr>
          <w:rFonts w:ascii="Times New Roman" w:eastAsia="Times New Roman" w:hAnsi="Times New Roman" w:cs="Times New Roman"/>
        </w:rPr>
      </w:pPr>
      <w:r w:rsidRPr="00355613">
        <w:rPr>
          <w:rFonts w:ascii="Times New Roman" w:eastAsia="Times New Roman" w:hAnsi="Times New Roman" w:cs="Times New Roman"/>
          <w:sz w:val="28"/>
          <w:szCs w:val="28"/>
        </w:rPr>
        <w:br/>
      </w:r>
      <w:r w:rsidRPr="00355613">
        <w:rPr>
          <w:rFonts w:hAnsi="Times New Roman"/>
          <w:b/>
          <w:bCs/>
          <w:sz w:val="28"/>
          <w:szCs w:val="28"/>
        </w:rPr>
        <w:t>Выводы</w:t>
      </w:r>
      <w:r w:rsidRPr="00355613">
        <w:rPr>
          <w:rFonts w:ascii="Times New Roman"/>
          <w:b/>
          <w:bCs/>
          <w:sz w:val="28"/>
          <w:szCs w:val="28"/>
        </w:rPr>
        <w:t xml:space="preserve">, </w:t>
      </w:r>
      <w:r w:rsidRPr="00355613">
        <w:rPr>
          <w:rFonts w:hAnsi="Times New Roman"/>
          <w:b/>
          <w:bCs/>
          <w:sz w:val="28"/>
          <w:szCs w:val="28"/>
        </w:rPr>
        <w:t>сделанные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по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результатам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исследования</w:t>
      </w:r>
      <w:r w:rsidRPr="00355613">
        <w:rPr>
          <w:rFonts w:ascii="Times New Roman"/>
          <w:b/>
          <w:bCs/>
          <w:sz w:val="28"/>
          <w:szCs w:val="28"/>
        </w:rPr>
        <w:t>:</w:t>
      </w:r>
    </w:p>
    <w:p w:rsidR="003C2DF2" w:rsidRDefault="00355613" w:rsidP="00355613">
      <w:pPr>
        <w:pStyle w:val="a0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</w:rPr>
        <w:t xml:space="preserve"> </w:t>
      </w:r>
      <w:r>
        <w:rPr>
          <w:rFonts w:hAnsi="Times New Roman"/>
          <w:sz w:val="28"/>
          <w:szCs w:val="28"/>
        </w:rPr>
        <w:t>объема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родной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правосубъектности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межгосударстве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арбитражем</w:t>
      </w:r>
      <w:r>
        <w:rPr>
          <w:rFonts w:ascii="Times New Roman"/>
          <w:sz w:val="28"/>
          <w:szCs w:val="28"/>
        </w:rPr>
        <w:t xml:space="preserve">, </w:t>
      </w:r>
      <w:proofErr w:type="gramStart"/>
      <w:r>
        <w:rPr>
          <w:rFonts w:hAnsi="Times New Roman"/>
          <w:sz w:val="28"/>
          <w:szCs w:val="28"/>
        </w:rPr>
        <w:t>действующем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>.</w:t>
      </w:r>
    </w:p>
    <w:p w:rsidR="003C2DF2" w:rsidRDefault="00355613" w:rsidP="00355613">
      <w:pPr>
        <w:pStyle w:val="a0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трансфо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смотрении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тезис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.</w:t>
      </w:r>
    </w:p>
    <w:p w:rsidR="00355613" w:rsidRPr="00355613" w:rsidRDefault="00355613">
      <w:pPr>
        <w:pStyle w:val="a0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lastRenderedPageBreak/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активизирована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смотра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исключение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регламентирующих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оговорок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полненных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иммунитетов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>дународной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иммунитетов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препятствовать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>).</w:t>
      </w:r>
    </w:p>
    <w:p w:rsidR="003C2DF2" w:rsidRDefault="00355613" w:rsidP="00EB5CD0">
      <w:pPr>
        <w:pStyle w:val="a0"/>
        <w:spacing w:after="240"/>
        <w:ind w:lef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2DF2" w:rsidRDefault="003C2DF2">
      <w:pPr>
        <w:pStyle w:val="a0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DF2" w:rsidRDefault="00355613">
      <w:pPr>
        <w:pStyle w:val="a0"/>
        <w:spacing w:after="24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C2DF2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C2" w:rsidRDefault="00355613">
      <w:r>
        <w:separator/>
      </w:r>
    </w:p>
  </w:endnote>
  <w:endnote w:type="continuationSeparator" w:id="0">
    <w:p w:rsidR="008141C2" w:rsidRDefault="0035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086"/>
      <w:docPartObj>
        <w:docPartGallery w:val="Page Numbers (Bottom of Page)"/>
        <w:docPartUnique/>
      </w:docPartObj>
    </w:sdtPr>
    <w:sdtEndPr/>
    <w:sdtContent>
      <w:p w:rsidR="00355613" w:rsidRDefault="003556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3D" w:rsidRPr="00E07A3D">
          <w:rPr>
            <w:noProof/>
            <w:lang w:val="ru-RU"/>
          </w:rPr>
          <w:t>1</w:t>
        </w:r>
        <w:r>
          <w:fldChar w:fldCharType="end"/>
        </w:r>
      </w:p>
    </w:sdtContent>
  </w:sdt>
  <w:p w:rsidR="003C2DF2" w:rsidRDefault="003C2DF2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C2" w:rsidRDefault="00355613">
      <w:r>
        <w:separator/>
      </w:r>
    </w:p>
  </w:footnote>
  <w:footnote w:type="continuationSeparator" w:id="0">
    <w:p w:rsidR="008141C2" w:rsidRDefault="0035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216"/>
    <w:multiLevelType w:val="multilevel"/>
    <w:tmpl w:val="466E764A"/>
    <w:styleLink w:val="List0"/>
    <w:lvl w:ilvl="0">
      <w:start w:val="1"/>
      <w:numFmt w:val="bullet"/>
      <w:lvlText w:val="-"/>
      <w:lvlJc w:val="left"/>
      <w:pPr>
        <w:tabs>
          <w:tab w:val="num" w:pos="258"/>
        </w:tabs>
        <w:ind w:left="258" w:hanging="258"/>
      </w:pPr>
      <w:rPr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position w:val="0"/>
        <w:sz w:val="28"/>
        <w:szCs w:val="28"/>
        <w:u w:color="000000"/>
        <w:lang w:val="ru-RU"/>
      </w:rPr>
    </w:lvl>
  </w:abstractNum>
  <w:abstractNum w:abstractNumId="1">
    <w:nsid w:val="1A1661CD"/>
    <w:multiLevelType w:val="multilevel"/>
    <w:tmpl w:val="9F1096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">
    <w:nsid w:val="7584270A"/>
    <w:multiLevelType w:val="multilevel"/>
    <w:tmpl w:val="E730A832"/>
    <w:lvl w:ilvl="0">
      <w:start w:val="1"/>
      <w:numFmt w:val="bullet"/>
      <w:lvlText w:val="-"/>
      <w:lvlJc w:val="left"/>
      <w:pPr>
        <w:tabs>
          <w:tab w:val="num" w:pos="258"/>
        </w:tabs>
        <w:ind w:left="258" w:hanging="258"/>
      </w:pPr>
      <w:rPr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position w:val="0"/>
        <w:sz w:val="28"/>
        <w:szCs w:val="28"/>
        <w:u w:color="000000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DF2"/>
    <w:rsid w:val="001F02D9"/>
    <w:rsid w:val="00355613"/>
    <w:rsid w:val="003C2DF2"/>
    <w:rsid w:val="008141C2"/>
    <w:rsid w:val="00E07A3D"/>
    <w:rsid w:val="00E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Header">
    <w:name w:val="header"/>
    <w:basedOn w:val="Normal"/>
    <w:link w:val="HeaderChar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Header">
    <w:name w:val="header"/>
    <w:basedOn w:val="Normal"/>
    <w:link w:val="HeaderChar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6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A640-25C8-44A2-9B3A-09C2A8F8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Бурачевская Вероника Викторовна</dc:creator>
  <cp:lastModifiedBy>Veronika V. Burachevskaya</cp:lastModifiedBy>
  <cp:revision>2</cp:revision>
  <dcterms:created xsi:type="dcterms:W3CDTF">2015-05-18T17:31:00Z</dcterms:created>
  <dcterms:modified xsi:type="dcterms:W3CDTF">2015-05-18T17:31:00Z</dcterms:modified>
</cp:coreProperties>
</file>