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E85B" w14:textId="77777777" w:rsidR="00F4761D" w:rsidRPr="00121DFB" w:rsidRDefault="00F4761D" w:rsidP="00F17AD0">
      <w:pPr>
        <w:jc w:val="center"/>
        <w:rPr>
          <w:b/>
          <w:lang w:val="en-US"/>
        </w:rPr>
      </w:pPr>
      <w:r>
        <w:rPr>
          <w:b/>
        </w:rPr>
        <w:t>Санкт-Петербургский государственный университет</w:t>
      </w:r>
    </w:p>
    <w:p w14:paraId="74AAA86C" w14:textId="77777777" w:rsidR="00F4761D" w:rsidRDefault="00F4761D" w:rsidP="00F17AD0">
      <w:pPr>
        <w:jc w:val="center"/>
        <w:rPr>
          <w:b/>
        </w:rPr>
      </w:pPr>
      <w:r>
        <w:rPr>
          <w:b/>
        </w:rPr>
        <w:t>Юридический факультет</w:t>
      </w:r>
    </w:p>
    <w:p w14:paraId="520C2E5F" w14:textId="77777777" w:rsidR="00F4761D" w:rsidRDefault="00F4761D" w:rsidP="00F17AD0">
      <w:pPr>
        <w:jc w:val="center"/>
        <w:rPr>
          <w:b/>
        </w:rPr>
      </w:pPr>
    </w:p>
    <w:p w14:paraId="385BC529" w14:textId="1509E5BD" w:rsidR="00F4761D" w:rsidRPr="00F4761D" w:rsidRDefault="00AD6781" w:rsidP="00F4761D">
      <w:pPr>
        <w:jc w:val="right"/>
      </w:pPr>
      <w:r>
        <w:t>1</w:t>
      </w:r>
      <w:r w:rsidR="00F4761D" w:rsidRPr="00F4761D">
        <w:t xml:space="preserve"> </w:t>
      </w:r>
      <w:r>
        <w:t>июня</w:t>
      </w:r>
      <w:r w:rsidR="006F31B0">
        <w:t xml:space="preserve"> 2012</w:t>
      </w:r>
      <w:r w:rsidR="00F4761D" w:rsidRPr="00F4761D">
        <w:t xml:space="preserve"> г.</w:t>
      </w:r>
    </w:p>
    <w:p w14:paraId="33A776C9" w14:textId="77777777" w:rsidR="00F4761D" w:rsidRDefault="00F4761D" w:rsidP="00F17AD0">
      <w:pPr>
        <w:jc w:val="center"/>
        <w:rPr>
          <w:b/>
        </w:rPr>
      </w:pPr>
    </w:p>
    <w:p w14:paraId="3A84BC09" w14:textId="77777777" w:rsidR="00944EFD" w:rsidRPr="00F17AD0" w:rsidRDefault="00F17AD0" w:rsidP="00F17AD0">
      <w:pPr>
        <w:jc w:val="center"/>
        <w:rPr>
          <w:b/>
        </w:rPr>
      </w:pPr>
      <w:r w:rsidRPr="00F17AD0">
        <w:rPr>
          <w:b/>
        </w:rPr>
        <w:t>РЕЦЕНЗИЯ</w:t>
      </w:r>
    </w:p>
    <w:p w14:paraId="112E75E5" w14:textId="3586A744" w:rsidR="00F17AD0" w:rsidRDefault="00F17AD0" w:rsidP="00F17AD0">
      <w:pPr>
        <w:jc w:val="center"/>
      </w:pPr>
      <w:r>
        <w:t xml:space="preserve">на </w:t>
      </w:r>
      <w:r w:rsidR="00AD6781">
        <w:t>магистерскую диссертацию</w:t>
      </w:r>
    </w:p>
    <w:p w14:paraId="3E6D96C0" w14:textId="35EC9C07" w:rsidR="00F17AD0" w:rsidRDefault="00AB2571" w:rsidP="00F17AD0">
      <w:pPr>
        <w:jc w:val="center"/>
      </w:pPr>
      <w:r>
        <w:t>студент</w:t>
      </w:r>
      <w:r w:rsidR="0093461B">
        <w:t>а</w:t>
      </w:r>
      <w:r>
        <w:t xml:space="preserve"> </w:t>
      </w:r>
      <w:r w:rsidR="00AD6781">
        <w:t>2</w:t>
      </w:r>
      <w:r>
        <w:t xml:space="preserve"> курса </w:t>
      </w:r>
      <w:r w:rsidR="00AD6781">
        <w:t>магистратуры</w:t>
      </w:r>
    </w:p>
    <w:p w14:paraId="0D3D254F" w14:textId="490195EA" w:rsidR="00F17AD0" w:rsidRPr="0093461B" w:rsidRDefault="0093461B" w:rsidP="00B64A3D">
      <w:pPr>
        <w:jc w:val="center"/>
        <w:rPr>
          <w:lang w:val="en-US"/>
        </w:rPr>
      </w:pPr>
      <w:proofErr w:type="spellStart"/>
      <w:r>
        <w:t>Левичева</w:t>
      </w:r>
      <w:proofErr w:type="spellEnd"/>
      <w:r>
        <w:t xml:space="preserve"> Сергея Викторовича</w:t>
      </w:r>
    </w:p>
    <w:p w14:paraId="7DCD0E34" w14:textId="5E4F721E" w:rsidR="00F17AD0" w:rsidRDefault="00F17AD0" w:rsidP="00F17AD0">
      <w:pPr>
        <w:jc w:val="center"/>
      </w:pPr>
      <w:r>
        <w:t>«</w:t>
      </w:r>
      <w:r w:rsidR="0093461B">
        <w:t>Некоторые аспекты правовой регламентации защиты групповых интересов</w:t>
      </w:r>
      <w:r>
        <w:t>»</w:t>
      </w:r>
    </w:p>
    <w:p w14:paraId="0E322BBD" w14:textId="77777777" w:rsidR="00695FC2" w:rsidRDefault="00695FC2" w:rsidP="00695FC2"/>
    <w:p w14:paraId="0F87C5DA" w14:textId="188BED5B" w:rsidR="0093461B" w:rsidRPr="0093461B" w:rsidRDefault="00AD6781" w:rsidP="0093461B">
      <w:pPr>
        <w:ind w:firstLine="284"/>
        <w:jc w:val="both"/>
      </w:pPr>
      <w:r>
        <w:t>Магистерская диссертация</w:t>
      </w:r>
      <w:r w:rsidR="005061B0">
        <w:t xml:space="preserve"> </w:t>
      </w:r>
      <w:proofErr w:type="spellStart"/>
      <w:r w:rsidR="0093461B">
        <w:t>Левичева</w:t>
      </w:r>
      <w:proofErr w:type="spellEnd"/>
      <w:r w:rsidR="0093461B">
        <w:t xml:space="preserve"> С</w:t>
      </w:r>
      <w:r w:rsidR="001B3A00">
        <w:t>.</w:t>
      </w:r>
      <w:r w:rsidR="0093461B">
        <w:t>В.</w:t>
      </w:r>
      <w:r>
        <w:t xml:space="preserve"> </w:t>
      </w:r>
      <w:r w:rsidR="00695FC2">
        <w:t xml:space="preserve">посвящена </w:t>
      </w:r>
      <w:r w:rsidR="0093461B">
        <w:t xml:space="preserve">несомненно </w:t>
      </w:r>
      <w:r w:rsidR="00695FC2">
        <w:t xml:space="preserve">актуальной </w:t>
      </w:r>
      <w:r w:rsidR="00121DFB">
        <w:t xml:space="preserve">и </w:t>
      </w:r>
      <w:r w:rsidR="0093461B">
        <w:t xml:space="preserve">до сих пор </w:t>
      </w:r>
      <w:r w:rsidR="00121DFB">
        <w:t xml:space="preserve">малоизученной </w:t>
      </w:r>
      <w:r w:rsidR="00695FC2">
        <w:t>теме</w:t>
      </w:r>
      <w:r>
        <w:t>.</w:t>
      </w:r>
      <w:r w:rsidR="00121DFB">
        <w:t xml:space="preserve"> </w:t>
      </w:r>
      <w:r w:rsidR="0093461B">
        <w:t xml:space="preserve">Хотя главе 28.2 АПК РФ, введенная </w:t>
      </w:r>
      <w:r w:rsidR="0093461B" w:rsidRPr="0093461B">
        <w:t>Федеральным законом от 19.07.2009 N 205-ФЗ</w:t>
      </w:r>
      <w:r w:rsidR="0093461B">
        <w:t xml:space="preserve"> уже посвящено  немало исследований до более или менее устоявшегося представления о сущности и особенностях порядка рассмотрения дел о защите прав и законных интересов группы лиц еще далеко.</w:t>
      </w:r>
    </w:p>
    <w:p w14:paraId="67CE0C18" w14:textId="3AD24A89" w:rsidR="0093461B" w:rsidRDefault="000333C3" w:rsidP="0093461B">
      <w:pPr>
        <w:ind w:firstLine="284"/>
        <w:jc w:val="both"/>
      </w:pPr>
      <w:r>
        <w:t xml:space="preserve">Работа отличается </w:t>
      </w:r>
      <w:r w:rsidRPr="000333C3">
        <w:t>последовательность</w:t>
      </w:r>
      <w:r>
        <w:t>ю</w:t>
      </w:r>
      <w:r w:rsidR="0093461B">
        <w:t>, новизной</w:t>
      </w:r>
      <w:r>
        <w:t xml:space="preserve"> и </w:t>
      </w:r>
      <w:r w:rsidRPr="000333C3">
        <w:t>оригинальност</w:t>
      </w:r>
      <w:r w:rsidR="00121DFB">
        <w:t xml:space="preserve">ью. </w:t>
      </w:r>
      <w:r w:rsidR="0093461B">
        <w:t>Автор шаг за шагом описывает те проблемы, которые возникают или потенциально могут возникнуть в ходе применения положений главы 28.2 АПК, во всех случаях предлагая аргументированные пути их разрешения.</w:t>
      </w:r>
    </w:p>
    <w:p w14:paraId="54BB91B9" w14:textId="63FA1F0A" w:rsidR="0093461B" w:rsidRDefault="0093461B" w:rsidP="0093461B">
      <w:pPr>
        <w:ind w:firstLine="284"/>
        <w:jc w:val="both"/>
      </w:pPr>
      <w:r>
        <w:t>Особую ценность работе придают ее главы 3 и 4, в которых рассматриваются соответственно вопросы защиты прав группы лиц в жилищных правоотношениях и особенности рассмотрения групповых исков в корпоративных спорах.</w:t>
      </w:r>
    </w:p>
    <w:p w14:paraId="57ABEB54" w14:textId="3DADCD58" w:rsidR="000333C3" w:rsidRDefault="000333C3" w:rsidP="00101A2B">
      <w:pPr>
        <w:ind w:firstLine="284"/>
        <w:jc w:val="both"/>
      </w:pPr>
      <w:r>
        <w:t xml:space="preserve">В то же время, исследованию присущи </w:t>
      </w:r>
      <w:r w:rsidR="00A0743F">
        <w:t xml:space="preserve">и </w:t>
      </w:r>
      <w:r>
        <w:t>некоторые недостатки.</w:t>
      </w:r>
    </w:p>
    <w:p w14:paraId="0D85B3A1" w14:textId="79D119A8" w:rsidR="0093461B" w:rsidRPr="0093461B" w:rsidRDefault="0093461B" w:rsidP="00234A08">
      <w:pPr>
        <w:ind w:firstLine="284"/>
        <w:jc w:val="both"/>
      </w:pPr>
      <w:r>
        <w:t>В некоторых случаях мысль автора, на наш взгляд, не доведена до конца. Так, на стр.24 он пишет: «</w:t>
      </w:r>
      <w:proofErr w:type="spellStart"/>
      <w:r>
        <w:t>C</w:t>
      </w:r>
      <w:r w:rsidRPr="0093461B">
        <w:t>уд</w:t>
      </w:r>
      <w:proofErr w:type="spellEnd"/>
      <w:r w:rsidRPr="0093461B">
        <w:t xml:space="preserve"> при наличии оснований полагать, что решением по иску обратившегося лица могут быть нарушены или затронуты права третьих лиц – участников спорного правоотношения, должен императивно начать рассматривать дело с учетом главы 28.2 АПК РФ</w:t>
      </w:r>
      <w:r>
        <w:t xml:space="preserve">». Автор предлагает суду пренебречь количественным критерием, но остается неясным, то ли автор выдвигает это предложение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lege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ferenda</w:t>
      </w:r>
      <w:proofErr w:type="spellEnd"/>
      <w:r>
        <w:rPr>
          <w:lang w:val="en-US"/>
        </w:rPr>
        <w:t xml:space="preserve">, </w:t>
      </w:r>
      <w:r>
        <w:t xml:space="preserve">то ли побуждает суд самостоятельно собирать кредиторов (по крайней мере, до </w:t>
      </w:r>
      <w:r w:rsidR="000A7CF6">
        <w:t>минимальных пятерых участников, предусмотренных ч.2 ст.225.10 АПК РФ).</w:t>
      </w:r>
    </w:p>
    <w:p w14:paraId="1ADFA09F" w14:textId="5367E9A6" w:rsidR="0093461B" w:rsidRPr="0093461B" w:rsidRDefault="000A7CF6" w:rsidP="00234A08">
      <w:pPr>
        <w:ind w:firstLine="284"/>
        <w:jc w:val="both"/>
      </w:pPr>
      <w:r>
        <w:t>Не делает он ожидаемых от него выводов и в результате проведенного им сравнения институтов процессуального соучастия и группового иска (стр.41-44). Казалось бы автор озвучил все предпосылки для того, чтобы заключить, что групповой иск является развитием института обязательного процессуального соучастия на стороне истца, и по всей видимости рано или поздно поглотит последний, однако, ни этот вывод, ни возможное опровержение его в работе места не находят.</w:t>
      </w:r>
    </w:p>
    <w:p w14:paraId="17592ACA" w14:textId="136B0DAA" w:rsidR="00F4761D" w:rsidRPr="006B636A" w:rsidRDefault="009452EA" w:rsidP="00234A08">
      <w:pPr>
        <w:ind w:firstLine="284"/>
        <w:jc w:val="both"/>
        <w:rPr>
          <w:lang w:val="en-US"/>
        </w:rPr>
      </w:pPr>
      <w:r>
        <w:t>В порядке полемики</w:t>
      </w:r>
      <w:r w:rsidR="00E52EDA">
        <w:t xml:space="preserve"> </w:t>
      </w:r>
      <w:r>
        <w:t>в ходе публичной защиты автору</w:t>
      </w:r>
      <w:r w:rsidR="00E52EDA">
        <w:t xml:space="preserve"> </w:t>
      </w:r>
      <w:r w:rsidR="00234A08">
        <w:t>предлагае</w:t>
      </w:r>
      <w:r w:rsidR="002A41B0">
        <w:t>тся</w:t>
      </w:r>
      <w:r w:rsidR="00FF448D">
        <w:t xml:space="preserve"> ответить на следующие вопросы:</w:t>
      </w:r>
    </w:p>
    <w:p w14:paraId="79583164" w14:textId="77777777" w:rsidR="002A41B0" w:rsidRDefault="002A41B0" w:rsidP="002A41B0">
      <w:pPr>
        <w:jc w:val="both"/>
      </w:pPr>
    </w:p>
    <w:p w14:paraId="36CEFC19" w14:textId="193BA61B" w:rsidR="0075333C" w:rsidRDefault="0075333C" w:rsidP="00A0743F">
      <w:pPr>
        <w:pStyle w:val="ListParagraph"/>
        <w:numPr>
          <w:ilvl w:val="0"/>
          <w:numId w:val="5"/>
        </w:numPr>
        <w:jc w:val="both"/>
      </w:pPr>
      <w:r>
        <w:t xml:space="preserve">Для предъявления иска о возмещении обществу убытков, причиненных его органами, акционеру необходимо владеть не менее чем 1 процентом обыкновенных акций общества. </w:t>
      </w:r>
      <w:r w:rsidR="00792492">
        <w:t xml:space="preserve">Если акционер владеет менее чем 1 процентом, то ему, согласно логике автора (стр.49), необходимо «присоединить» к своему иску других акционеров. В связи с этим возникает вопрос, </w:t>
      </w:r>
      <w:r w:rsidR="00792492">
        <w:lastRenderedPageBreak/>
        <w:t>возможен ли выход из группы как еще одно средство оказания влияния на судьбу процесса? Или однажды вступив в группу, все влияние ограничивается возможностью смещения лица, подавшего заявление в защиту группы?</w:t>
      </w:r>
    </w:p>
    <w:p w14:paraId="2994D800" w14:textId="5CD4236F" w:rsidR="00A0743F" w:rsidRDefault="00824B4D" w:rsidP="00A0743F">
      <w:pPr>
        <w:pStyle w:val="ListParagraph"/>
        <w:numPr>
          <w:ilvl w:val="0"/>
          <w:numId w:val="5"/>
        </w:numPr>
        <w:jc w:val="both"/>
      </w:pPr>
      <w:r>
        <w:t>На стр.40 автор приходит к выводу, что ТСЖ</w:t>
      </w:r>
      <w:r w:rsidR="004500D4">
        <w:t xml:space="preserve"> вправе</w:t>
      </w:r>
      <w:r>
        <w:t xml:space="preserve"> предъявля</w:t>
      </w:r>
      <w:r w:rsidR="004500D4">
        <w:t>ть групповые</w:t>
      </w:r>
      <w:r>
        <w:t xml:space="preserve"> иск</w:t>
      </w:r>
      <w:r w:rsidR="004500D4">
        <w:t>и</w:t>
      </w:r>
      <w:r>
        <w:t xml:space="preserve"> в защиту интересов</w:t>
      </w:r>
      <w:r w:rsidR="004500D4">
        <w:t xml:space="preserve"> собственников жилого помещения</w:t>
      </w:r>
      <w:r>
        <w:t xml:space="preserve">. </w:t>
      </w:r>
      <w:r w:rsidR="004500D4">
        <w:t xml:space="preserve">В то же время ТСЖ стороной материальных правоотношений не является, оно только представляет собственников, и </w:t>
      </w:r>
      <w:r w:rsidR="004B3D43">
        <w:t>буквально толкуя</w:t>
      </w:r>
      <w:r w:rsidR="004500D4">
        <w:t xml:space="preserve"> ст.225.10</w:t>
      </w:r>
      <w:r w:rsidR="004B3D43">
        <w:t xml:space="preserve"> АПК РФ</w:t>
      </w:r>
      <w:r w:rsidR="004500D4">
        <w:t xml:space="preserve"> таких исков предъявлять не вправе. На стр.10-11 сам автор указывает, что лицо, предъявляющее групповые иски, процессуальным представителем группы не является, поскольку сам</w:t>
      </w:r>
      <w:r w:rsidR="004B3D43">
        <w:t>о</w:t>
      </w:r>
      <w:r w:rsidR="004500D4">
        <w:t xml:space="preserve"> является у</w:t>
      </w:r>
      <w:r w:rsidR="004B3D43">
        <w:t>частником спорных правоотношений</w:t>
      </w:r>
      <w:r w:rsidR="004500D4">
        <w:t xml:space="preserve">. На указанное положение предъявителя иска рассчитаны </w:t>
      </w:r>
      <w:r w:rsidR="004B3D43">
        <w:t>все положения главы 28.2 АПК РФ. В чем же состоит смысл наделения ТСЖ правом самостоятельного предъявления групповых исков, ведь в случае необходимости оно вполне могло бы действовать по доверенности от одного из своих членов?</w:t>
      </w:r>
      <w:bookmarkStart w:id="0" w:name="_GoBack"/>
      <w:bookmarkEnd w:id="0"/>
    </w:p>
    <w:p w14:paraId="69135E3F" w14:textId="77777777" w:rsidR="0039596D" w:rsidRDefault="0039596D" w:rsidP="00F4761D">
      <w:pPr>
        <w:ind w:firstLine="284"/>
        <w:jc w:val="both"/>
      </w:pPr>
    </w:p>
    <w:p w14:paraId="474021A1" w14:textId="27395DEC" w:rsidR="006B636A" w:rsidRDefault="000333C3" w:rsidP="00F4761D">
      <w:pPr>
        <w:ind w:firstLine="284"/>
        <w:jc w:val="both"/>
      </w:pPr>
      <w:r>
        <w:t>В целом работа соответствует всем предъявляемым требованиям, отличается новизной и оригинальностью, и заслуживает положительной оценки</w:t>
      </w:r>
      <w:r w:rsidR="006B636A">
        <w:t>.</w:t>
      </w:r>
    </w:p>
    <w:p w14:paraId="6C9DEC46" w14:textId="77777777" w:rsidR="00FB56FC" w:rsidRDefault="00FB56FC" w:rsidP="005061B0">
      <w:pPr>
        <w:ind w:firstLine="284"/>
        <w:jc w:val="both"/>
      </w:pPr>
    </w:p>
    <w:p w14:paraId="017E1D03" w14:textId="77777777" w:rsidR="00264FEE" w:rsidRDefault="00264FEE" w:rsidP="005061B0">
      <w:pPr>
        <w:ind w:firstLine="284"/>
        <w:jc w:val="both"/>
      </w:pPr>
    </w:p>
    <w:p w14:paraId="5E2BBF00" w14:textId="77777777" w:rsidR="00F4761D" w:rsidRDefault="001373BB" w:rsidP="005061B0">
      <w:pPr>
        <w:ind w:firstLine="284"/>
        <w:jc w:val="both"/>
      </w:pPr>
      <w:r>
        <w:t>А</w:t>
      </w:r>
      <w:r w:rsidR="00264FEE">
        <w:t>ссистент</w:t>
      </w:r>
      <w:r w:rsidR="00F4761D">
        <w:t xml:space="preserve"> кафедры</w:t>
      </w:r>
      <w:r w:rsidR="008321BD">
        <w:t xml:space="preserve"> </w:t>
      </w:r>
      <w:r w:rsidR="00F4761D">
        <w:t>гражданского процесса</w:t>
      </w:r>
      <w:r w:rsidR="00F4761D">
        <w:tab/>
      </w:r>
      <w:r w:rsidR="008321BD">
        <w:tab/>
      </w:r>
      <w:r w:rsidR="00264FEE">
        <w:tab/>
      </w:r>
      <w:r w:rsidR="00F4761D">
        <w:t>Егоркин С.Н.</w:t>
      </w:r>
    </w:p>
    <w:sectPr w:rsidR="00F4761D" w:rsidSect="00B44C13">
      <w:pgSz w:w="11900" w:h="16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BEBC" w14:textId="77777777" w:rsidR="004500D4" w:rsidRDefault="004500D4" w:rsidP="00695FC2">
      <w:r>
        <w:separator/>
      </w:r>
    </w:p>
  </w:endnote>
  <w:endnote w:type="continuationSeparator" w:id="0">
    <w:p w14:paraId="0BD0CB62" w14:textId="77777777" w:rsidR="004500D4" w:rsidRDefault="004500D4" w:rsidP="0069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789C" w14:textId="77777777" w:rsidR="004500D4" w:rsidRDefault="004500D4" w:rsidP="00695FC2">
      <w:r>
        <w:separator/>
      </w:r>
    </w:p>
  </w:footnote>
  <w:footnote w:type="continuationSeparator" w:id="0">
    <w:p w14:paraId="1FB6CFB3" w14:textId="77777777" w:rsidR="004500D4" w:rsidRDefault="004500D4" w:rsidP="0069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CCC"/>
    <w:multiLevelType w:val="hybridMultilevel"/>
    <w:tmpl w:val="6E38D3EE"/>
    <w:lvl w:ilvl="0" w:tplc="2F52C476">
      <w:start w:val="1"/>
      <w:numFmt w:val="decimal"/>
      <w:lvlText w:val="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343C2105"/>
    <w:multiLevelType w:val="hybridMultilevel"/>
    <w:tmpl w:val="B1DE1DC0"/>
    <w:lvl w:ilvl="0" w:tplc="F5BCEEAA">
      <w:start w:val="1"/>
      <w:numFmt w:val="decimal"/>
      <w:lvlText w:val="%1)"/>
      <w:lvlJc w:val="left"/>
      <w:pPr>
        <w:ind w:left="864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2B2D54"/>
    <w:multiLevelType w:val="hybridMultilevel"/>
    <w:tmpl w:val="E55A427E"/>
    <w:lvl w:ilvl="0" w:tplc="DE0C02B2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7481F"/>
    <w:multiLevelType w:val="hybridMultilevel"/>
    <w:tmpl w:val="983A9122"/>
    <w:lvl w:ilvl="0" w:tplc="693A5678">
      <w:start w:val="1"/>
      <w:numFmt w:val="decimal"/>
      <w:lvlText w:val="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E47489"/>
    <w:multiLevelType w:val="hybridMultilevel"/>
    <w:tmpl w:val="83DE63DC"/>
    <w:lvl w:ilvl="0" w:tplc="AE06C636">
      <w:start w:val="1"/>
      <w:numFmt w:val="decimal"/>
      <w:lvlText w:val="%1)"/>
      <w:lvlJc w:val="left"/>
      <w:pPr>
        <w:ind w:left="904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0"/>
    <w:rsid w:val="000333C3"/>
    <w:rsid w:val="00043BD7"/>
    <w:rsid w:val="0007750C"/>
    <w:rsid w:val="000A7CF6"/>
    <w:rsid w:val="000B6B0F"/>
    <w:rsid w:val="000F2B68"/>
    <w:rsid w:val="00101A2B"/>
    <w:rsid w:val="00121DFB"/>
    <w:rsid w:val="001373BB"/>
    <w:rsid w:val="00166477"/>
    <w:rsid w:val="0017142A"/>
    <w:rsid w:val="001814CE"/>
    <w:rsid w:val="00196EE5"/>
    <w:rsid w:val="001A398C"/>
    <w:rsid w:val="001B3A00"/>
    <w:rsid w:val="001B3E65"/>
    <w:rsid w:val="00234A08"/>
    <w:rsid w:val="00264FEE"/>
    <w:rsid w:val="00294D5B"/>
    <w:rsid w:val="002A095D"/>
    <w:rsid w:val="002A41B0"/>
    <w:rsid w:val="002B3D9A"/>
    <w:rsid w:val="002C5EAE"/>
    <w:rsid w:val="002E62A7"/>
    <w:rsid w:val="0039596D"/>
    <w:rsid w:val="00397261"/>
    <w:rsid w:val="003A7656"/>
    <w:rsid w:val="003D3D3D"/>
    <w:rsid w:val="003E6B96"/>
    <w:rsid w:val="00425BC8"/>
    <w:rsid w:val="004500D4"/>
    <w:rsid w:val="00465B3A"/>
    <w:rsid w:val="004B3D43"/>
    <w:rsid w:val="004C7427"/>
    <w:rsid w:val="004D239C"/>
    <w:rsid w:val="004F0B50"/>
    <w:rsid w:val="004F3C2C"/>
    <w:rsid w:val="004F7055"/>
    <w:rsid w:val="004F7B1D"/>
    <w:rsid w:val="005061B0"/>
    <w:rsid w:val="005072CF"/>
    <w:rsid w:val="005323FB"/>
    <w:rsid w:val="00542BAE"/>
    <w:rsid w:val="005952AE"/>
    <w:rsid w:val="005A1EAA"/>
    <w:rsid w:val="005E0CB0"/>
    <w:rsid w:val="00600AE9"/>
    <w:rsid w:val="00600F06"/>
    <w:rsid w:val="00657782"/>
    <w:rsid w:val="00692115"/>
    <w:rsid w:val="00695FC2"/>
    <w:rsid w:val="006A1806"/>
    <w:rsid w:val="006B52D7"/>
    <w:rsid w:val="006B636A"/>
    <w:rsid w:val="006C3AEA"/>
    <w:rsid w:val="006D0C43"/>
    <w:rsid w:val="006F31B0"/>
    <w:rsid w:val="007454A9"/>
    <w:rsid w:val="00750CA0"/>
    <w:rsid w:val="0075333C"/>
    <w:rsid w:val="00792492"/>
    <w:rsid w:val="00795D3E"/>
    <w:rsid w:val="007B482A"/>
    <w:rsid w:val="007C21DC"/>
    <w:rsid w:val="007E2DD8"/>
    <w:rsid w:val="00824B4D"/>
    <w:rsid w:val="008321BD"/>
    <w:rsid w:val="00874994"/>
    <w:rsid w:val="0089596B"/>
    <w:rsid w:val="008A4955"/>
    <w:rsid w:val="008B1E29"/>
    <w:rsid w:val="008B427A"/>
    <w:rsid w:val="009074A5"/>
    <w:rsid w:val="00920825"/>
    <w:rsid w:val="0093461B"/>
    <w:rsid w:val="009446C9"/>
    <w:rsid w:val="00944EFD"/>
    <w:rsid w:val="009452EA"/>
    <w:rsid w:val="00953167"/>
    <w:rsid w:val="00972C67"/>
    <w:rsid w:val="0099559D"/>
    <w:rsid w:val="009A7AC0"/>
    <w:rsid w:val="00A01568"/>
    <w:rsid w:val="00A0743F"/>
    <w:rsid w:val="00A10779"/>
    <w:rsid w:val="00A15F32"/>
    <w:rsid w:val="00A3306E"/>
    <w:rsid w:val="00A61F72"/>
    <w:rsid w:val="00A74F1C"/>
    <w:rsid w:val="00AB1593"/>
    <w:rsid w:val="00AB171E"/>
    <w:rsid w:val="00AB2571"/>
    <w:rsid w:val="00AB33BA"/>
    <w:rsid w:val="00AD1C8C"/>
    <w:rsid w:val="00AD6781"/>
    <w:rsid w:val="00AE36E7"/>
    <w:rsid w:val="00B070DF"/>
    <w:rsid w:val="00B44C13"/>
    <w:rsid w:val="00B64A3D"/>
    <w:rsid w:val="00B802C1"/>
    <w:rsid w:val="00BB1632"/>
    <w:rsid w:val="00C30EAB"/>
    <w:rsid w:val="00C96417"/>
    <w:rsid w:val="00CA6726"/>
    <w:rsid w:val="00CC2AFD"/>
    <w:rsid w:val="00CD24FB"/>
    <w:rsid w:val="00CD251A"/>
    <w:rsid w:val="00CD58EB"/>
    <w:rsid w:val="00D002CE"/>
    <w:rsid w:val="00D72B88"/>
    <w:rsid w:val="00D85AD0"/>
    <w:rsid w:val="00D93A57"/>
    <w:rsid w:val="00DA4C93"/>
    <w:rsid w:val="00DE2B5F"/>
    <w:rsid w:val="00DF6D29"/>
    <w:rsid w:val="00E000B6"/>
    <w:rsid w:val="00E43186"/>
    <w:rsid w:val="00E52EDA"/>
    <w:rsid w:val="00EA187B"/>
    <w:rsid w:val="00EC1DC8"/>
    <w:rsid w:val="00EE787F"/>
    <w:rsid w:val="00EF773A"/>
    <w:rsid w:val="00F13245"/>
    <w:rsid w:val="00F17AD0"/>
    <w:rsid w:val="00F4761D"/>
    <w:rsid w:val="00F61B22"/>
    <w:rsid w:val="00F658D6"/>
    <w:rsid w:val="00F67B1E"/>
    <w:rsid w:val="00F95B10"/>
    <w:rsid w:val="00FB2C40"/>
    <w:rsid w:val="00FB56FC"/>
    <w:rsid w:val="00FC4AA6"/>
    <w:rsid w:val="00FF1364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7B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C2"/>
  </w:style>
  <w:style w:type="paragraph" w:styleId="Footer">
    <w:name w:val="footer"/>
    <w:basedOn w:val="Normal"/>
    <w:link w:val="FooterChar"/>
    <w:uiPriority w:val="99"/>
    <w:unhideWhenUsed/>
    <w:rsid w:val="00695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C2"/>
  </w:style>
  <w:style w:type="paragraph" w:styleId="Footer">
    <w:name w:val="footer"/>
    <w:basedOn w:val="Normal"/>
    <w:link w:val="FooterChar"/>
    <w:uiPriority w:val="99"/>
    <w:unhideWhenUsed/>
    <w:rsid w:val="00695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8FC46-A480-504B-96E0-7B79D9CA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Stanislav Egorkin</cp:lastModifiedBy>
  <cp:revision>6</cp:revision>
  <dcterms:created xsi:type="dcterms:W3CDTF">2012-06-14T18:15:00Z</dcterms:created>
  <dcterms:modified xsi:type="dcterms:W3CDTF">2012-06-14T20:57:00Z</dcterms:modified>
</cp:coreProperties>
</file>