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70" w:rsidRDefault="00070170" w:rsidP="000701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САНКТ-ПЕТЕРБУРГСКИЙ ГОСУДАРСТВЕННЫЙ УНИВЕРСИТЕТ</w:t>
      </w:r>
    </w:p>
    <w:p w:rsidR="00070170" w:rsidRDefault="00070170" w:rsidP="000701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ЮРИДИЧЕСКИЙ ФАКУЛЬТЕТ</w:t>
      </w:r>
    </w:p>
    <w:p w:rsidR="00070170" w:rsidRDefault="00070170" w:rsidP="000701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0170" w:rsidRDefault="00070170" w:rsidP="000701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070170" w:rsidRDefault="00070170" w:rsidP="000701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выпускной квалификационной работы</w:t>
      </w:r>
    </w:p>
    <w:p w:rsidR="00070170" w:rsidRDefault="00070170" w:rsidP="0007017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студента магистратуры по программе «Предпринимательское право, коммерческое право»</w:t>
      </w:r>
    </w:p>
    <w:p w:rsidR="00070170" w:rsidRDefault="00070170" w:rsidP="000701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Юрченко Александра Сергеевича</w:t>
      </w:r>
    </w:p>
    <w:p w:rsidR="00070170" w:rsidRDefault="00070170" w:rsidP="000701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выпускной квалификационной работы: Проблемы заключения кредитного договора в сфере предпринимательства на примере Постановления Пленума Высшего Арбитражного Суда Российской Федерации от 12.07.2012 №42 «О некоторых вопросах разрешения споров, связанных с поручительством»</w:t>
      </w:r>
    </w:p>
    <w:p w:rsidR="00070170" w:rsidRDefault="00070170" w:rsidP="00070170">
      <w:pPr>
        <w:jc w:val="center"/>
        <w:rPr>
          <w:rFonts w:ascii="Times New Roman" w:hAnsi="Times New Roman"/>
          <w:sz w:val="28"/>
          <w:szCs w:val="28"/>
        </w:rPr>
      </w:pPr>
    </w:p>
    <w:p w:rsidR="00070170" w:rsidRDefault="00070170" w:rsidP="00070170">
      <w:pPr>
        <w:jc w:val="center"/>
        <w:rPr>
          <w:rFonts w:ascii="Times New Roman" w:hAnsi="Times New Roman"/>
          <w:sz w:val="28"/>
          <w:szCs w:val="28"/>
        </w:rPr>
      </w:pPr>
    </w:p>
    <w:p w:rsidR="00780928" w:rsidRDefault="00070170" w:rsidP="000701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исследования:</w:t>
      </w:r>
    </w:p>
    <w:p w:rsidR="00780928" w:rsidRDefault="00780928" w:rsidP="000701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070170">
        <w:rPr>
          <w:rFonts w:ascii="Times New Roman" w:hAnsi="Times New Roman"/>
          <w:sz w:val="28"/>
          <w:szCs w:val="28"/>
        </w:rPr>
        <w:t>Исследовать хронологию обо</w:t>
      </w:r>
      <w:r>
        <w:rPr>
          <w:rFonts w:ascii="Times New Roman" w:hAnsi="Times New Roman"/>
          <w:sz w:val="28"/>
          <w:szCs w:val="28"/>
        </w:rPr>
        <w:t>б</w:t>
      </w:r>
      <w:r w:rsidR="00070170">
        <w:rPr>
          <w:rFonts w:ascii="Times New Roman" w:hAnsi="Times New Roman"/>
          <w:sz w:val="28"/>
          <w:szCs w:val="28"/>
        </w:rPr>
        <w:t xml:space="preserve">щающих документов Высшего Арбитражного </w:t>
      </w:r>
      <w:r>
        <w:rPr>
          <w:rFonts w:ascii="Times New Roman" w:hAnsi="Times New Roman"/>
          <w:sz w:val="28"/>
          <w:szCs w:val="28"/>
        </w:rPr>
        <w:t>Суд РФ</w:t>
      </w:r>
      <w:r w:rsidR="00131711">
        <w:rPr>
          <w:rFonts w:ascii="Times New Roman" w:hAnsi="Times New Roman"/>
          <w:sz w:val="28"/>
          <w:szCs w:val="28"/>
        </w:rPr>
        <w:t>;</w:t>
      </w:r>
    </w:p>
    <w:p w:rsidR="00780928" w:rsidRPr="00780928" w:rsidRDefault="00780928" w:rsidP="00070170">
      <w:pPr>
        <w:jc w:val="both"/>
        <w:rPr>
          <w:rFonts w:ascii="Times New Roman" w:hAnsi="Times New Roman"/>
          <w:b/>
          <w:sz w:val="28"/>
          <w:szCs w:val="28"/>
        </w:rPr>
      </w:pPr>
      <w:r w:rsidRPr="0078092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E68CB">
        <w:rPr>
          <w:rFonts w:ascii="Times New Roman" w:hAnsi="Times New Roman"/>
          <w:sz w:val="28"/>
          <w:szCs w:val="28"/>
        </w:rPr>
        <w:t xml:space="preserve">Сравнить позицию ВАС РФ, изложенную в Постановлении №42 </w:t>
      </w:r>
      <w:r w:rsidRPr="00780928">
        <w:rPr>
          <w:rFonts w:ascii="Times New Roman" w:hAnsi="Times New Roman"/>
          <w:sz w:val="28"/>
          <w:szCs w:val="28"/>
        </w:rPr>
        <w:t>и</w:t>
      </w:r>
      <w:r w:rsidR="002E68CB">
        <w:rPr>
          <w:rFonts w:ascii="Times New Roman" w:hAnsi="Times New Roman"/>
          <w:sz w:val="28"/>
          <w:szCs w:val="28"/>
        </w:rPr>
        <w:t xml:space="preserve"> позицию</w:t>
      </w:r>
      <w:r w:rsidRPr="00780928">
        <w:rPr>
          <w:rFonts w:ascii="Times New Roman" w:hAnsi="Times New Roman"/>
          <w:sz w:val="28"/>
          <w:szCs w:val="28"/>
        </w:rPr>
        <w:t xml:space="preserve"> разработчиков проекта Федерального закона №47538-6 «О внесении изменений в части первую, вторую, третью и четвертую Гражданского кодекса Российской Федерации, а также в отдельные законодательные акты Российской Федерации»</w:t>
      </w:r>
      <w:r w:rsidR="00131711">
        <w:rPr>
          <w:rFonts w:ascii="Times New Roman" w:hAnsi="Times New Roman"/>
          <w:b/>
          <w:sz w:val="28"/>
          <w:szCs w:val="28"/>
        </w:rPr>
        <w:t>;</w:t>
      </w:r>
    </w:p>
    <w:p w:rsidR="00131711" w:rsidRDefault="00780928" w:rsidP="000701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780928">
        <w:rPr>
          <w:rFonts w:ascii="Times New Roman" w:hAnsi="Times New Roman"/>
          <w:sz w:val="28"/>
          <w:szCs w:val="28"/>
        </w:rPr>
        <w:t xml:space="preserve">Проанализировать изменения, как готовящиеся, так и уже имеющие место, затрагивающие </w:t>
      </w:r>
      <w:r w:rsidR="00131711">
        <w:rPr>
          <w:rFonts w:ascii="Times New Roman" w:hAnsi="Times New Roman"/>
          <w:sz w:val="28"/>
          <w:szCs w:val="28"/>
        </w:rPr>
        <w:t>поручительство</w:t>
      </w:r>
      <w:r w:rsidR="002E68CB">
        <w:rPr>
          <w:rFonts w:ascii="Times New Roman" w:hAnsi="Times New Roman"/>
          <w:sz w:val="28"/>
          <w:szCs w:val="28"/>
        </w:rPr>
        <w:t>, выявить противоречия. Определить</w:t>
      </w:r>
      <w:r w:rsidR="00433D57">
        <w:rPr>
          <w:rFonts w:ascii="Times New Roman" w:hAnsi="Times New Roman"/>
          <w:sz w:val="28"/>
          <w:szCs w:val="28"/>
        </w:rPr>
        <w:t xml:space="preserve"> правовую</w:t>
      </w:r>
      <w:r w:rsidR="002E68CB">
        <w:rPr>
          <w:rFonts w:ascii="Times New Roman" w:hAnsi="Times New Roman"/>
          <w:sz w:val="28"/>
          <w:szCs w:val="28"/>
        </w:rPr>
        <w:t xml:space="preserve"> природу обязательства из договора поручительства; проанализировать нововведения, касающиеся замены должника в основном обязательстве в результате универсального правопреемства; </w:t>
      </w:r>
      <w:r w:rsidR="00433D57">
        <w:rPr>
          <w:rFonts w:ascii="Times New Roman" w:hAnsi="Times New Roman"/>
          <w:sz w:val="28"/>
          <w:szCs w:val="28"/>
        </w:rPr>
        <w:t xml:space="preserve">дать оценку новым правилам об изменении основного обязательства, </w:t>
      </w:r>
      <w:proofErr w:type="gramStart"/>
      <w:r w:rsidR="00433D57">
        <w:rPr>
          <w:rFonts w:ascii="Times New Roman" w:hAnsi="Times New Roman"/>
          <w:sz w:val="28"/>
          <w:szCs w:val="28"/>
        </w:rPr>
        <w:t>совершенному</w:t>
      </w:r>
      <w:proofErr w:type="gramEnd"/>
      <w:r w:rsidR="00433D57">
        <w:rPr>
          <w:rFonts w:ascii="Times New Roman" w:hAnsi="Times New Roman"/>
          <w:sz w:val="28"/>
          <w:szCs w:val="28"/>
        </w:rPr>
        <w:t xml:space="preserve"> без согласия поручителя;</w:t>
      </w:r>
    </w:p>
    <w:p w:rsidR="00070170" w:rsidRPr="00131711" w:rsidRDefault="00131711" w:rsidP="000701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Исследовать </w:t>
      </w:r>
      <w:r w:rsidR="00780928">
        <w:rPr>
          <w:rFonts w:ascii="Times New Roman" w:hAnsi="Times New Roman"/>
          <w:b/>
          <w:sz w:val="28"/>
          <w:szCs w:val="28"/>
        </w:rPr>
        <w:t xml:space="preserve"> </w:t>
      </w:r>
      <w:r w:rsidRPr="00131711">
        <w:rPr>
          <w:rFonts w:ascii="Times New Roman" w:hAnsi="Times New Roman"/>
          <w:sz w:val="28"/>
          <w:szCs w:val="28"/>
        </w:rPr>
        <w:t>институт ответственности поручителя</w:t>
      </w:r>
      <w:r>
        <w:rPr>
          <w:rFonts w:ascii="Times New Roman" w:hAnsi="Times New Roman"/>
          <w:sz w:val="28"/>
          <w:szCs w:val="28"/>
        </w:rPr>
        <w:t>;</w:t>
      </w:r>
    </w:p>
    <w:p w:rsidR="00070170" w:rsidRPr="007E2A0F" w:rsidRDefault="00070170" w:rsidP="00070170">
      <w:pPr>
        <w:jc w:val="both"/>
        <w:rPr>
          <w:rFonts w:ascii="Times New Roman" w:hAnsi="Times New Roman"/>
          <w:b/>
          <w:sz w:val="28"/>
          <w:szCs w:val="28"/>
        </w:rPr>
      </w:pPr>
    </w:p>
    <w:p w:rsidR="00070170" w:rsidRPr="007E2A0F" w:rsidRDefault="00070170" w:rsidP="00070170">
      <w:pPr>
        <w:jc w:val="both"/>
        <w:rPr>
          <w:rFonts w:ascii="Times New Roman" w:hAnsi="Times New Roman"/>
          <w:b/>
          <w:sz w:val="28"/>
          <w:szCs w:val="28"/>
        </w:rPr>
      </w:pPr>
      <w:r w:rsidRPr="007E2A0F">
        <w:rPr>
          <w:rFonts w:ascii="Times New Roman" w:hAnsi="Times New Roman"/>
          <w:b/>
          <w:sz w:val="28"/>
          <w:szCs w:val="28"/>
        </w:rPr>
        <w:t>Выводы, сделанные по результатам исследования:</w:t>
      </w:r>
    </w:p>
    <w:p w:rsidR="00131711" w:rsidRPr="007E2A0F" w:rsidRDefault="00131711" w:rsidP="00070170">
      <w:pPr>
        <w:jc w:val="both"/>
        <w:rPr>
          <w:rFonts w:ascii="Times New Roman" w:hAnsi="Times New Roman"/>
          <w:sz w:val="28"/>
          <w:szCs w:val="28"/>
        </w:rPr>
      </w:pPr>
      <w:r w:rsidRPr="007E2A0F">
        <w:rPr>
          <w:rFonts w:ascii="Times New Roman" w:hAnsi="Times New Roman"/>
          <w:sz w:val="28"/>
          <w:szCs w:val="28"/>
        </w:rPr>
        <w:t>- Еще в более ранних обобщающих документах Высшего Арбитражного Суда РФ наблюдаются за</w:t>
      </w:r>
      <w:r w:rsidR="002E68CB" w:rsidRPr="007E2A0F">
        <w:rPr>
          <w:rFonts w:ascii="Times New Roman" w:hAnsi="Times New Roman"/>
          <w:sz w:val="28"/>
          <w:szCs w:val="28"/>
        </w:rPr>
        <w:t>чатки определяющей сегодня идеи</w:t>
      </w:r>
      <w:r w:rsidRPr="007E2A0F">
        <w:rPr>
          <w:rFonts w:ascii="Times New Roman" w:hAnsi="Times New Roman"/>
          <w:sz w:val="28"/>
          <w:szCs w:val="28"/>
        </w:rPr>
        <w:t xml:space="preserve"> разработчиков законопроекта о стабильности обеспечений, которая</w:t>
      </w:r>
      <w:r w:rsidR="002E68CB" w:rsidRPr="007E2A0F">
        <w:rPr>
          <w:rFonts w:ascii="Times New Roman" w:hAnsi="Times New Roman"/>
          <w:sz w:val="28"/>
          <w:szCs w:val="28"/>
        </w:rPr>
        <w:t xml:space="preserve"> проводится в настоящее время и в практике ВАС РФ. Такое направление с одной стороны обоснованно, а с другой – имеет </w:t>
      </w:r>
      <w:r w:rsidR="007E2A0F" w:rsidRPr="007E2A0F">
        <w:rPr>
          <w:rFonts w:ascii="Times New Roman" w:hAnsi="Times New Roman"/>
          <w:sz w:val="28"/>
          <w:szCs w:val="28"/>
        </w:rPr>
        <w:t>недостатки;</w:t>
      </w:r>
    </w:p>
    <w:p w:rsidR="002E68CB" w:rsidRPr="007E2A0F" w:rsidRDefault="002E68CB" w:rsidP="00070170">
      <w:pPr>
        <w:jc w:val="both"/>
        <w:rPr>
          <w:rFonts w:ascii="Times New Roman" w:hAnsi="Times New Roman"/>
          <w:sz w:val="28"/>
          <w:szCs w:val="28"/>
        </w:rPr>
      </w:pPr>
      <w:r w:rsidRPr="007E2A0F">
        <w:rPr>
          <w:rFonts w:ascii="Times New Roman" w:hAnsi="Times New Roman"/>
          <w:sz w:val="28"/>
          <w:szCs w:val="28"/>
        </w:rPr>
        <w:t xml:space="preserve">- </w:t>
      </w:r>
      <w:r w:rsidR="00433D57" w:rsidRPr="007E2A0F">
        <w:rPr>
          <w:rFonts w:ascii="Times New Roman" w:hAnsi="Times New Roman"/>
          <w:sz w:val="28"/>
          <w:szCs w:val="28"/>
        </w:rPr>
        <w:t>Положения проекта и Постановление №42 не позволяют ответить на вопрос о правовой природе обязательства из договора поручительства. Предлагается исполнение, осуществляемое поручителем, квалифицировать как обязательство, которое исполняет сам поручитель, а не обязательства из договора поручи</w:t>
      </w:r>
      <w:r w:rsidR="007E2A0F" w:rsidRPr="007E2A0F">
        <w:rPr>
          <w:rFonts w:ascii="Times New Roman" w:hAnsi="Times New Roman"/>
          <w:sz w:val="28"/>
          <w:szCs w:val="28"/>
        </w:rPr>
        <w:t>тельства;</w:t>
      </w:r>
    </w:p>
    <w:p w:rsidR="00696614" w:rsidRPr="007E2A0F" w:rsidRDefault="00433D57" w:rsidP="00433D57">
      <w:pPr>
        <w:jc w:val="both"/>
        <w:rPr>
          <w:rFonts w:ascii="Times New Roman" w:hAnsi="Times New Roman"/>
          <w:sz w:val="28"/>
          <w:szCs w:val="28"/>
        </w:rPr>
      </w:pPr>
      <w:r w:rsidRPr="007E2A0F">
        <w:rPr>
          <w:rFonts w:ascii="Times New Roman" w:hAnsi="Times New Roman"/>
          <w:sz w:val="28"/>
          <w:szCs w:val="28"/>
        </w:rPr>
        <w:t>- В настоящее время изменение основного обязательства, влекущее увеличение ответственности или иные неблагоприятные последствия для поручителя, совершенное без согласия последнего, является основанием для прекращения. Разработчики законопроекта предлагают в новой редакции прямо противоположный подход. В Постановлении №42 содержится положение, которое можно трактовать как исключение, позволяющее при определенных ситуациях в рамках толкования ГК в действующей редакции учитывать интересы поручителя. Предлагаетс</w:t>
      </w:r>
      <w:r w:rsidR="007E2A0F" w:rsidRPr="007E2A0F">
        <w:rPr>
          <w:rFonts w:ascii="Times New Roman" w:hAnsi="Times New Roman"/>
          <w:sz w:val="28"/>
          <w:szCs w:val="28"/>
        </w:rPr>
        <w:t>я сохранить указанное исключение</w:t>
      </w:r>
      <w:r w:rsidRPr="007E2A0F">
        <w:rPr>
          <w:rFonts w:ascii="Times New Roman" w:hAnsi="Times New Roman"/>
          <w:sz w:val="28"/>
          <w:szCs w:val="28"/>
        </w:rPr>
        <w:t xml:space="preserve"> в случае предполагаемого изменения подход</w:t>
      </w:r>
      <w:r w:rsidR="007E2A0F" w:rsidRPr="007E2A0F">
        <w:rPr>
          <w:rFonts w:ascii="Times New Roman" w:hAnsi="Times New Roman"/>
          <w:sz w:val="28"/>
          <w:szCs w:val="28"/>
        </w:rPr>
        <w:t>а законодателя по этому вопросу;</w:t>
      </w:r>
    </w:p>
    <w:p w:rsidR="00433D57" w:rsidRPr="007E2A0F" w:rsidRDefault="00433D57" w:rsidP="00433D57">
      <w:pPr>
        <w:jc w:val="both"/>
        <w:rPr>
          <w:rFonts w:ascii="Times New Roman" w:hAnsi="Times New Roman"/>
          <w:sz w:val="28"/>
          <w:szCs w:val="28"/>
        </w:rPr>
      </w:pPr>
      <w:r w:rsidRPr="007E2A0F">
        <w:rPr>
          <w:rFonts w:ascii="Times New Roman" w:hAnsi="Times New Roman"/>
          <w:sz w:val="28"/>
          <w:szCs w:val="28"/>
        </w:rPr>
        <w:t>- В действующей практике</w:t>
      </w:r>
      <w:r w:rsidR="007E2A0F" w:rsidRPr="007E2A0F">
        <w:rPr>
          <w:rFonts w:ascii="Times New Roman" w:hAnsi="Times New Roman"/>
          <w:sz w:val="28"/>
          <w:szCs w:val="28"/>
        </w:rPr>
        <w:t xml:space="preserve"> существует подход, в соответствии с которым замена должника в основном обязательстве в результате универсального правопреемства прекращает поручительство. В Постановлении №42 отражена противоположная позиция. Разработчики проекта предлагают более мягкое в сравнении с позицией ВАС правило, являющееся компромиссом и направленного на защиту интересов поручителей - физических лиц. В работе предлагается определить данное правило как диспозитивное;</w:t>
      </w:r>
    </w:p>
    <w:p w:rsidR="007E2A0F" w:rsidRPr="007E2A0F" w:rsidRDefault="007E2A0F" w:rsidP="00433D57">
      <w:pPr>
        <w:jc w:val="both"/>
        <w:rPr>
          <w:rFonts w:ascii="Times New Roman" w:hAnsi="Times New Roman"/>
          <w:sz w:val="28"/>
          <w:szCs w:val="28"/>
        </w:rPr>
      </w:pPr>
      <w:r w:rsidRPr="007E2A0F">
        <w:rPr>
          <w:rFonts w:ascii="Times New Roman" w:hAnsi="Times New Roman"/>
          <w:sz w:val="28"/>
          <w:szCs w:val="28"/>
        </w:rPr>
        <w:t xml:space="preserve">- Тезис о равных условиях поручителя и должника небесспорен, предлагается установить субсидиарную ответственность поручителя в качестве общего правила. </w:t>
      </w:r>
    </w:p>
    <w:sectPr w:rsidR="007E2A0F" w:rsidRPr="007E2A0F" w:rsidSect="0069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170"/>
    <w:rsid w:val="00070170"/>
    <w:rsid w:val="00131711"/>
    <w:rsid w:val="002E68CB"/>
    <w:rsid w:val="003F0F47"/>
    <w:rsid w:val="00433D57"/>
    <w:rsid w:val="00696614"/>
    <w:rsid w:val="00780928"/>
    <w:rsid w:val="007E2A0F"/>
    <w:rsid w:val="0089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7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терминалов</dc:creator>
  <cp:lastModifiedBy>Пользователь терминалов</cp:lastModifiedBy>
  <cp:revision>2</cp:revision>
  <dcterms:created xsi:type="dcterms:W3CDTF">2013-06-18T16:25:00Z</dcterms:created>
  <dcterms:modified xsi:type="dcterms:W3CDTF">2013-06-18T16:25:00Z</dcterms:modified>
</cp:coreProperties>
</file>