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01" w:rsidRDefault="000E4A01" w:rsidP="000E4A01">
      <w:pPr>
        <w:pStyle w:val="a3"/>
        <w:spacing w:after="202" w:afterAutospacing="0"/>
        <w:jc w:val="center"/>
      </w:pPr>
      <w:r>
        <w:rPr>
          <w:b/>
          <w:bCs/>
        </w:rPr>
        <w:t>Рецензия</w:t>
      </w:r>
    </w:p>
    <w:p w:rsidR="000E4A01" w:rsidRDefault="000E4A01" w:rsidP="000E4A01">
      <w:pPr>
        <w:pStyle w:val="a3"/>
        <w:spacing w:after="202" w:afterAutospacing="0"/>
        <w:jc w:val="center"/>
      </w:pPr>
      <w:r>
        <w:rPr>
          <w:b/>
          <w:bCs/>
        </w:rPr>
        <w:t>на ма</w:t>
      </w:r>
      <w:r w:rsidR="00F275E6">
        <w:rPr>
          <w:b/>
          <w:bCs/>
        </w:rPr>
        <w:t>гистерскую диссертацию студента</w:t>
      </w:r>
      <w:r>
        <w:rPr>
          <w:b/>
          <w:bCs/>
        </w:rPr>
        <w:t xml:space="preserve"> </w:t>
      </w:r>
      <w:r w:rsidR="00E8408F">
        <w:rPr>
          <w:b/>
          <w:bCs/>
        </w:rPr>
        <w:t>2</w:t>
      </w:r>
      <w:r>
        <w:rPr>
          <w:b/>
          <w:bCs/>
        </w:rPr>
        <w:t xml:space="preserve"> курса </w:t>
      </w:r>
      <w:proofErr w:type="spellStart"/>
      <w:r w:rsidR="00F275E6">
        <w:rPr>
          <w:b/>
          <w:bCs/>
        </w:rPr>
        <w:t>Курындина</w:t>
      </w:r>
      <w:proofErr w:type="spellEnd"/>
      <w:r w:rsidR="00F275E6">
        <w:rPr>
          <w:b/>
          <w:bCs/>
        </w:rPr>
        <w:t xml:space="preserve"> Павла Александровича</w:t>
      </w:r>
      <w:r>
        <w:rPr>
          <w:b/>
          <w:bCs/>
        </w:rPr>
        <w:t xml:space="preserve"> «</w:t>
      </w:r>
      <w:r w:rsidR="00F275E6">
        <w:rPr>
          <w:b/>
          <w:bCs/>
        </w:rPr>
        <w:t xml:space="preserve">Оценка </w:t>
      </w:r>
      <w:r w:rsidR="00E8408F">
        <w:rPr>
          <w:b/>
          <w:bCs/>
        </w:rPr>
        <w:t>допустимости обращений, поданных</w:t>
      </w:r>
      <w:r w:rsidR="00F275E6">
        <w:rPr>
          <w:b/>
          <w:bCs/>
        </w:rPr>
        <w:t xml:space="preserve"> в органы конституционной юстиции (на примере жалоб граждан в Конституционный Суд РФ и ходатайств о приоритетном вопросе конституционности во Франции</w:t>
      </w:r>
      <w:r w:rsidR="00E8408F">
        <w:rPr>
          <w:b/>
          <w:bCs/>
        </w:rPr>
        <w:t>)</w:t>
      </w:r>
      <w:r>
        <w:rPr>
          <w:b/>
          <w:bCs/>
        </w:rPr>
        <w:t>»</w:t>
      </w:r>
    </w:p>
    <w:p w:rsidR="000E7932" w:rsidRPr="000E7932" w:rsidRDefault="00E8408F" w:rsidP="002F26E8">
      <w:pPr>
        <w:pStyle w:val="a3"/>
        <w:spacing w:after="202" w:afterAutospacing="0"/>
        <w:ind w:left="-706" w:firstLine="706"/>
        <w:jc w:val="both"/>
      </w:pPr>
      <w:r>
        <w:t>Актуальность темы исследования не вызывает сомнений. Как верно отмечает автор, ч</w:t>
      </w:r>
      <w:r w:rsidR="000E7932">
        <w:t xml:space="preserve">исло обращений </w:t>
      </w:r>
      <w:r>
        <w:t xml:space="preserve">граждан </w:t>
      </w:r>
      <w:r w:rsidR="000E7932">
        <w:t>в органы</w:t>
      </w:r>
      <w:r>
        <w:t xml:space="preserve"> конституционной юстиции растет, при этом оценка допустимости жалобы является важным этапом конституционного производства</w:t>
      </w:r>
      <w:r w:rsidR="002F26E8">
        <w:t>, определяющим дальнейшую перспективу защиты прав граждан, подавших жалобу</w:t>
      </w:r>
      <w:r>
        <w:t xml:space="preserve">. </w:t>
      </w:r>
      <w:r w:rsidR="000E7932">
        <w:t>Ряд вопросов, которые затрагивает автор (например, о роли Секретариата</w:t>
      </w:r>
      <w:r w:rsidR="002F26E8">
        <w:t xml:space="preserve"> Конституционного Суда РФ</w:t>
      </w:r>
      <w:r w:rsidR="000E7932">
        <w:t>, о возможности обжалования решений об отказе в принятии к рассмотрению ж</w:t>
      </w:r>
      <w:r w:rsidR="002F26E8">
        <w:t>алобы) обсуждаются довольно давно</w:t>
      </w:r>
      <w:r w:rsidR="002F26E8">
        <w:rPr>
          <w:rStyle w:val="a6"/>
        </w:rPr>
        <w:footnoteReference w:id="1"/>
      </w:r>
      <w:r w:rsidR="002F26E8">
        <w:t>, однако так и не получили однозначного разрешения</w:t>
      </w:r>
      <w:r w:rsidR="000E7932">
        <w:t>.</w:t>
      </w:r>
      <w:r w:rsidR="002F26E8">
        <w:t xml:space="preserve"> А</w:t>
      </w:r>
      <w:r w:rsidR="000E7932">
        <w:t xml:space="preserve">втор исследует данные проблемы </w:t>
      </w:r>
      <w:r w:rsidR="002F26E8">
        <w:t>с учетом</w:t>
      </w:r>
      <w:r w:rsidR="000E7932">
        <w:t xml:space="preserve"> последних изменений правового </w:t>
      </w:r>
      <w:proofErr w:type="gramStart"/>
      <w:r w:rsidR="000E7932">
        <w:t>регулирования</w:t>
      </w:r>
      <w:proofErr w:type="gramEnd"/>
      <w:r w:rsidR="000E7932">
        <w:t xml:space="preserve"> как в России, так и во Франции. </w:t>
      </w:r>
      <w:r w:rsidR="002F26E8">
        <w:t xml:space="preserve">Актуальность обусловлена и сравнительным характером исследования, приобретающим все большее распространение в правовой науке. </w:t>
      </w:r>
    </w:p>
    <w:p w:rsidR="000E7932" w:rsidRDefault="002F26E8" w:rsidP="002F26E8">
      <w:pPr>
        <w:pStyle w:val="a3"/>
        <w:spacing w:after="202" w:afterAutospacing="0"/>
        <w:ind w:left="-706" w:firstLine="706"/>
        <w:jc w:val="both"/>
      </w:pPr>
      <w:r>
        <w:t xml:space="preserve"> В исследовании а</w:t>
      </w:r>
      <w:r w:rsidR="000E4A01">
        <w:t>в</w:t>
      </w:r>
      <w:r>
        <w:t xml:space="preserve">тор охватывает широкий круг </w:t>
      </w:r>
      <w:r w:rsidR="000E4A01">
        <w:t>теоретическ</w:t>
      </w:r>
      <w:r>
        <w:t xml:space="preserve">их </w:t>
      </w:r>
      <w:r w:rsidR="000E7932">
        <w:t xml:space="preserve">и практических проблем, демонстрируя глубокую осведомленность как в национальном регулировании России и Франции, так и в конституционном праве в целом. </w:t>
      </w:r>
      <w:r w:rsidR="00BF7672">
        <w:t>Автор исследует как</w:t>
      </w:r>
      <w:r>
        <w:t xml:space="preserve"> саму</w:t>
      </w:r>
      <w:r w:rsidR="00BF7672">
        <w:t xml:space="preserve"> сущность правоотношений по оценке допустимости</w:t>
      </w:r>
      <w:r>
        <w:t xml:space="preserve"> обращений</w:t>
      </w:r>
      <w:r w:rsidR="00BF7672">
        <w:t xml:space="preserve">, так и конкретные проблемы, существующие в </w:t>
      </w:r>
      <w:r>
        <w:t xml:space="preserve">правовом регулировании, </w:t>
      </w:r>
      <w:r w:rsidR="00BF7672">
        <w:t>в свете правовых принципов</w:t>
      </w:r>
      <w:r>
        <w:t xml:space="preserve"> законности, доступности правосудия</w:t>
      </w:r>
      <w:r w:rsidR="00BF7672">
        <w:t xml:space="preserve">, состязательности и </w:t>
      </w:r>
      <w:r w:rsidR="00886C3A">
        <w:t>диспозитивности. Кроме того, автор обращается к более общим теоретическим вопросам, таким как понятие</w:t>
      </w:r>
      <w:r w:rsidR="00BF7672">
        <w:t xml:space="preserve"> </w:t>
      </w:r>
      <w:r w:rsidR="00886C3A">
        <w:t>«</w:t>
      </w:r>
      <w:r w:rsidR="00BF7672">
        <w:t>закон</w:t>
      </w:r>
      <w:r w:rsidR="00886C3A">
        <w:t>»</w:t>
      </w:r>
      <w:r w:rsidR="00BF7672">
        <w:t xml:space="preserve">, </w:t>
      </w:r>
      <w:r w:rsidR="00886C3A">
        <w:t>«</w:t>
      </w:r>
      <w:r w:rsidR="00B22A6A">
        <w:t>основные</w:t>
      </w:r>
      <w:r w:rsidR="00886C3A">
        <w:t>»</w:t>
      </w:r>
      <w:r w:rsidR="00B22A6A">
        <w:t xml:space="preserve"> и </w:t>
      </w:r>
      <w:r w:rsidR="00886C3A">
        <w:t>«</w:t>
      </w:r>
      <w:r w:rsidR="00B22A6A">
        <w:t>конституционные</w:t>
      </w:r>
      <w:r w:rsidR="00886C3A">
        <w:t>»</w:t>
      </w:r>
      <w:r w:rsidR="00B22A6A">
        <w:t xml:space="preserve"> права, </w:t>
      </w:r>
      <w:r w:rsidR="00886C3A">
        <w:t>природа и  предназначение</w:t>
      </w:r>
      <w:r w:rsidR="00BF7672">
        <w:t xml:space="preserve"> судебной власти</w:t>
      </w:r>
      <w:r w:rsidR="00886C3A">
        <w:t xml:space="preserve">. </w:t>
      </w:r>
    </w:p>
    <w:p w:rsidR="000E4A01" w:rsidRDefault="000E4A01" w:rsidP="00886C3A">
      <w:pPr>
        <w:pStyle w:val="a3"/>
        <w:spacing w:after="202" w:afterAutospacing="0"/>
        <w:ind w:left="-706" w:firstLine="706"/>
        <w:jc w:val="both"/>
      </w:pPr>
      <w:r>
        <w:t xml:space="preserve">Работа выполнена грамотным научным языком, </w:t>
      </w:r>
      <w:r w:rsidR="00BF7672">
        <w:t xml:space="preserve">интересная </w:t>
      </w:r>
      <w:r>
        <w:t>структура позволила автору логично и обстоятельно изложить материал по теме исследования. К безусловным достоинствам работы следует отнести широкий круг используемой литературы, нормативных актов и правоприменительной практики, включающ</w:t>
      </w:r>
      <w:r w:rsidR="000E7932">
        <w:t>ий иностранные</w:t>
      </w:r>
      <w:r w:rsidR="00886C3A">
        <w:t xml:space="preserve"> источники</w:t>
      </w:r>
      <w:r>
        <w:t xml:space="preserve">. </w:t>
      </w:r>
    </w:p>
    <w:p w:rsidR="00550FF9" w:rsidRDefault="00886C3A" w:rsidP="00550FF9">
      <w:pPr>
        <w:pStyle w:val="a3"/>
        <w:spacing w:after="202" w:afterAutospacing="0"/>
        <w:ind w:left="-706" w:firstLine="706"/>
        <w:jc w:val="both"/>
      </w:pPr>
      <w:r>
        <w:t>Основное замечание в адрес работы - отсутствие конкретных  решений по ряду проблем, описываемых автором (более подробно – в вопросах рецензента). Кроме того, н</w:t>
      </w:r>
      <w:r w:rsidR="00B22A6A">
        <w:t xml:space="preserve">е </w:t>
      </w:r>
      <w:r>
        <w:t xml:space="preserve">все выводы в исследовании сохраняют актуальность. </w:t>
      </w:r>
      <w:r w:rsidR="00B22A6A">
        <w:t>Например, ав</w:t>
      </w:r>
      <w:r>
        <w:t xml:space="preserve">тор указывает, что граждане не </w:t>
      </w:r>
      <w:r w:rsidR="00B22A6A">
        <w:t>могут защитить свои права в Конституционном Суде</w:t>
      </w:r>
      <w:r>
        <w:t xml:space="preserve"> РФ</w:t>
      </w:r>
      <w:r w:rsidR="00B22A6A">
        <w:t>, обжалуя Указ Президента РФ, так как он формально не подпадает под понятие «закон»</w:t>
      </w:r>
      <w:r w:rsidR="00550FF9">
        <w:t>,</w:t>
      </w:r>
      <w:r w:rsidR="00B22A6A">
        <w:t xml:space="preserve"> и </w:t>
      </w:r>
      <w:r>
        <w:t xml:space="preserve">в подтверждение </w:t>
      </w:r>
      <w:r w:rsidR="00B22A6A">
        <w:t>приводит примеры из практики Конституционного Суда РФ (с. 33). Однако анализ практики за 2011 год позволяет прийти к иным выводам: Суд отказывает в принятии к рассмотрению обращений граждан о конституционности Указов Президента РФ по другим основаниям</w:t>
      </w:r>
      <w:r>
        <w:t>.</w:t>
      </w:r>
      <w:r w:rsidR="00B22A6A">
        <w:rPr>
          <w:rStyle w:val="a6"/>
        </w:rPr>
        <w:footnoteReference w:id="2"/>
      </w:r>
    </w:p>
    <w:p w:rsidR="00D44383" w:rsidRDefault="00F275E6" w:rsidP="009F3C98">
      <w:pPr>
        <w:pStyle w:val="a3"/>
        <w:spacing w:after="0" w:afterAutospacing="0"/>
        <w:ind w:left="-706" w:right="-283" w:firstLine="706"/>
      </w:pPr>
      <w:r w:rsidRPr="00F275E6">
        <w:t>1.</w:t>
      </w:r>
      <w:r w:rsidR="00D44383">
        <w:t xml:space="preserve"> </w:t>
      </w:r>
      <w:r>
        <w:t>В качестве основного метода</w:t>
      </w:r>
      <w:r w:rsidR="00886C3A">
        <w:t xml:space="preserve"> исследования автором заявлен </w:t>
      </w:r>
      <w:r>
        <w:t>сравнительно-правовой</w:t>
      </w:r>
      <w:r w:rsidR="00886C3A">
        <w:t xml:space="preserve"> метод</w:t>
      </w:r>
      <w:r w:rsidR="00D44383">
        <w:t>.</w:t>
      </w:r>
      <w:r w:rsidR="005F1848">
        <w:t xml:space="preserve"> В связи с этим предлагаются вопросы:</w:t>
      </w:r>
    </w:p>
    <w:p w:rsidR="005577CA" w:rsidRDefault="00D44383" w:rsidP="009F3C98">
      <w:pPr>
        <w:pStyle w:val="a3"/>
        <w:spacing w:after="0" w:afterAutospacing="0"/>
        <w:ind w:left="-706" w:right="-283" w:firstLine="706"/>
        <w:jc w:val="both"/>
      </w:pPr>
      <w:r>
        <w:t xml:space="preserve">1.1. </w:t>
      </w:r>
      <w:r w:rsidR="00F275E6">
        <w:t>Успех сравнительно-правового исследования в значительной степени обусловлен оправданным выбором объектов анализа</w:t>
      </w:r>
      <w:r w:rsidR="00886C3A">
        <w:t>, которые должны быть принципиально сопоставимы,</w:t>
      </w:r>
      <w:r w:rsidR="00F275E6">
        <w:t xml:space="preserve"> и критериев их сравнения. </w:t>
      </w:r>
      <w:r w:rsidR="00445381">
        <w:t xml:space="preserve">Автор указывает, что в основе российской и французской моделей конституционного контроля лежат </w:t>
      </w:r>
      <w:r w:rsidR="002A4976">
        <w:t>концептуально</w:t>
      </w:r>
      <w:r w:rsidR="00445381">
        <w:t xml:space="preserve"> разные идеи (с. </w:t>
      </w:r>
      <w:r>
        <w:t xml:space="preserve">14); </w:t>
      </w:r>
      <w:r w:rsidR="00886C3A">
        <w:t xml:space="preserve"> Европейски</w:t>
      </w:r>
      <w:r>
        <w:t xml:space="preserve">й Суд по правам человека, также ставший объектом сравнения в исследовании, </w:t>
      </w:r>
      <w:r w:rsidR="002A4976">
        <w:t xml:space="preserve"> вообще не относится к органам </w:t>
      </w:r>
      <w:r w:rsidR="002A4976">
        <w:lastRenderedPageBreak/>
        <w:t>к</w:t>
      </w:r>
      <w:r>
        <w:t>онституционной юстиции</w:t>
      </w:r>
      <w:r w:rsidR="002A4976">
        <w:t xml:space="preserve">. </w:t>
      </w:r>
      <w:r>
        <w:t>В связи с э</w:t>
      </w:r>
      <w:r w:rsidR="00550FF9">
        <w:t>тим автору предлагается пояснить</w:t>
      </w:r>
      <w:r>
        <w:t>, чем обусловлен выбор конкретных объектов сравнения.</w:t>
      </w:r>
      <w:r w:rsidR="005577CA">
        <w:t xml:space="preserve"> </w:t>
      </w:r>
    </w:p>
    <w:p w:rsidR="00D44383" w:rsidRDefault="00D44383" w:rsidP="00D44383">
      <w:pPr>
        <w:pStyle w:val="a3"/>
        <w:spacing w:after="0" w:afterAutospacing="0"/>
        <w:ind w:left="-706" w:right="-490" w:firstLine="706"/>
        <w:jc w:val="both"/>
      </w:pPr>
      <w:r>
        <w:t xml:space="preserve">1.2. </w:t>
      </w:r>
      <w:r w:rsidR="005577CA">
        <w:t>Кроме того, одной из основных фун</w:t>
      </w:r>
      <w:r w:rsidR="005F1848">
        <w:t>кций сравнительного исследования</w:t>
      </w:r>
      <w:r w:rsidR="005577CA">
        <w:t xml:space="preserve"> является его использование для совершенствования национального прав</w:t>
      </w:r>
      <w:r>
        <w:t>а.</w:t>
      </w:r>
      <w:r w:rsidR="005577CA">
        <w:rPr>
          <w:rStyle w:val="a6"/>
        </w:rPr>
        <w:footnoteReference w:id="3"/>
      </w:r>
      <w:r w:rsidR="005577CA">
        <w:t xml:space="preserve"> </w:t>
      </w:r>
      <w:r w:rsidR="000E7932">
        <w:t xml:space="preserve">Автор считает, что восприятие российской практикой идей, воплощенных во французском регулировании </w:t>
      </w:r>
      <w:r>
        <w:t>может иметь позитивный характер</w:t>
      </w:r>
      <w:r w:rsidR="000E7932">
        <w:t xml:space="preserve"> (с. 5).</w:t>
      </w:r>
      <w:r>
        <w:t xml:space="preserve"> Кроме того автор упоминает о возможности заимствования и взаимного влияния исследуемых моделей</w:t>
      </w:r>
      <w:r w:rsidR="005F1848">
        <w:t xml:space="preserve"> </w:t>
      </w:r>
      <w:r>
        <w:t>(с. 73). Как</w:t>
      </w:r>
      <w:r w:rsidR="005F1848">
        <w:t xml:space="preserve">ие конкретно элементы автор предлагает для заимствования и как  </w:t>
      </w:r>
      <w:r>
        <w:t xml:space="preserve">оценивает перспективы </w:t>
      </w:r>
      <w:r w:rsidR="005F1848">
        <w:t xml:space="preserve">их </w:t>
      </w:r>
      <w:r>
        <w:t xml:space="preserve">адаптации с учетом специфики национального права? </w:t>
      </w:r>
    </w:p>
    <w:p w:rsidR="005577CA" w:rsidRDefault="005577CA" w:rsidP="005F1848">
      <w:pPr>
        <w:pStyle w:val="a3"/>
        <w:spacing w:after="0" w:afterAutospacing="0"/>
        <w:ind w:left="-706" w:right="-490" w:firstLine="706"/>
        <w:jc w:val="both"/>
      </w:pPr>
      <w:r>
        <w:t>2.</w:t>
      </w:r>
      <w:r w:rsidR="00445381">
        <w:t xml:space="preserve"> В качестве одной из задач исследования заявлено формулирование предложений по р</w:t>
      </w:r>
      <w:r w:rsidR="005F1848">
        <w:t>азр</w:t>
      </w:r>
      <w:r w:rsidR="00445381">
        <w:t>ешению выявленных пра</w:t>
      </w:r>
      <w:r w:rsidR="005F1848">
        <w:t>вовых проблем. Однако конкретные решения сформулированы не по всем ключевым проблемам. В связи с этим предлагаются вопросы:</w:t>
      </w:r>
    </w:p>
    <w:p w:rsidR="002A4976" w:rsidRPr="00465A91" w:rsidRDefault="005F1848" w:rsidP="005F1848">
      <w:pPr>
        <w:pStyle w:val="a3"/>
        <w:spacing w:after="0" w:afterAutospacing="0"/>
        <w:ind w:left="-706" w:right="-490" w:firstLine="706"/>
        <w:jc w:val="both"/>
      </w:pPr>
      <w:r>
        <w:t>2.1. Исследуя российскую модель, а</w:t>
      </w:r>
      <w:r w:rsidR="002A4976" w:rsidRPr="00465A91">
        <w:t xml:space="preserve">втор указывает на высокую степень </w:t>
      </w:r>
      <w:r w:rsidR="00CD5203">
        <w:t>активности</w:t>
      </w:r>
      <w:r w:rsidR="002A4976" w:rsidRPr="00465A91">
        <w:t xml:space="preserve"> суде</w:t>
      </w:r>
      <w:r w:rsidR="00465A91">
        <w:t xml:space="preserve">й, отсутствие состязательности </w:t>
      </w:r>
      <w:r w:rsidR="002A4976" w:rsidRPr="00465A91">
        <w:t>и невозможность обжалования</w:t>
      </w:r>
      <w:r w:rsidR="00CD5203">
        <w:t xml:space="preserve"> на этапе </w:t>
      </w:r>
      <w:r>
        <w:t>оценки допустимости обращения</w:t>
      </w:r>
      <w:r w:rsidR="002A4976" w:rsidRPr="00465A91">
        <w:t xml:space="preserve">. Какие </w:t>
      </w:r>
      <w:r w:rsidR="00550FF9">
        <w:t xml:space="preserve">конкретные </w:t>
      </w:r>
      <w:r w:rsidR="002A4976" w:rsidRPr="00465A91">
        <w:t>правовые решения данной проблемы предлагает автор?</w:t>
      </w:r>
    </w:p>
    <w:p w:rsidR="000E7932" w:rsidRDefault="002A4976" w:rsidP="005F1848">
      <w:pPr>
        <w:pStyle w:val="a3"/>
        <w:spacing w:after="0" w:afterAutospacing="0"/>
        <w:ind w:left="-706" w:right="-490" w:firstLine="706"/>
        <w:jc w:val="both"/>
      </w:pPr>
      <w:r>
        <w:t>2.2</w:t>
      </w:r>
      <w:r w:rsidR="005F1848">
        <w:t xml:space="preserve">. </w:t>
      </w:r>
      <w:r>
        <w:t>Автор указывае</w:t>
      </w:r>
      <w:r w:rsidR="00465A91">
        <w:t xml:space="preserve">т на высокую роль Секретариата </w:t>
      </w:r>
      <w:r w:rsidR="005F1848">
        <w:t xml:space="preserve">КС РФ </w:t>
      </w:r>
      <w:r w:rsidR="00465A91">
        <w:t>в оценке допустимости</w:t>
      </w:r>
      <w:r w:rsidR="005F1848">
        <w:t xml:space="preserve"> обращений</w:t>
      </w:r>
      <w:r w:rsidR="00465A91">
        <w:t xml:space="preserve">. </w:t>
      </w:r>
      <w:r w:rsidR="005F1848">
        <w:t>При этом автор</w:t>
      </w:r>
      <w:r w:rsidR="00465A91">
        <w:t xml:space="preserve">  усматривает в деятельности Секретариата признаки административных отношений, несовместимые с требованиями независимости, не</w:t>
      </w:r>
      <w:r w:rsidR="00537869">
        <w:t xml:space="preserve">сменяемости и беспристрастности, диспозитивности и состязательности, характерными для судебной сферы </w:t>
      </w:r>
      <w:r w:rsidR="00465A91">
        <w:t xml:space="preserve">(с. </w:t>
      </w:r>
      <w:r w:rsidR="00537869">
        <w:t>27)</w:t>
      </w:r>
      <w:r w:rsidR="00465A91">
        <w:t>. Как</w:t>
      </w:r>
      <w:r w:rsidR="00537869">
        <w:t xml:space="preserve"> в связи с этим</w:t>
      </w:r>
      <w:r w:rsidR="005F1848">
        <w:t xml:space="preserve"> автор оценивает  функции и деятельность Секретариата и видит ли необходимость в их усовершенствовании?</w:t>
      </w:r>
      <w:r w:rsidR="005F1848">
        <w:tab/>
      </w:r>
    </w:p>
    <w:p w:rsidR="000E7932" w:rsidRDefault="005F1848" w:rsidP="00550FF9">
      <w:pPr>
        <w:pStyle w:val="a3"/>
        <w:spacing w:after="0" w:afterAutospacing="0"/>
        <w:ind w:left="-706" w:right="-490" w:firstLine="706"/>
        <w:jc w:val="both"/>
      </w:pPr>
      <w:r>
        <w:t>В целом</w:t>
      </w:r>
      <w:r w:rsidR="000E7932">
        <w:t xml:space="preserve"> работа представляет интересное и содержательное исследование, соответствует необходимым требованиям, предъявляемым к работам такого рода</w:t>
      </w:r>
      <w:r w:rsidR="009F3C98">
        <w:t>,</w:t>
      </w:r>
      <w:r w:rsidR="000E7932">
        <w:t xml:space="preserve"> и</w:t>
      </w:r>
      <w:r w:rsidR="009F3C98">
        <w:t xml:space="preserve"> </w:t>
      </w:r>
      <w:r w:rsidR="000E7932">
        <w:t xml:space="preserve">заслуживает положительной оценки при </w:t>
      </w:r>
      <w:r w:rsidR="009F3C98">
        <w:t>успешной публичной защите</w:t>
      </w:r>
      <w:r w:rsidR="000E7932">
        <w:t>.</w:t>
      </w:r>
    </w:p>
    <w:p w:rsidR="00445381" w:rsidRPr="00F275E6" w:rsidRDefault="00445381" w:rsidP="00550FF9">
      <w:pPr>
        <w:pStyle w:val="a3"/>
        <w:spacing w:after="0" w:afterAutospacing="0"/>
        <w:ind w:left="-706" w:right="-490" w:firstLine="706"/>
        <w:jc w:val="both"/>
      </w:pPr>
    </w:p>
    <w:p w:rsidR="000E4A01" w:rsidRDefault="000E4A01" w:rsidP="000E4A01">
      <w:pPr>
        <w:pStyle w:val="a3"/>
        <w:spacing w:after="0" w:afterAutospacing="0"/>
        <w:ind w:left="-706" w:right="-490"/>
      </w:pPr>
      <w:r>
        <w:t>Рецензент</w:t>
      </w:r>
    </w:p>
    <w:p w:rsidR="000E4A01" w:rsidRDefault="000E4A01" w:rsidP="000E4A01">
      <w:pPr>
        <w:pStyle w:val="a3"/>
        <w:spacing w:after="0" w:afterAutospacing="0"/>
        <w:ind w:left="-706"/>
      </w:pPr>
      <w:r>
        <w:t xml:space="preserve">ассистент </w:t>
      </w:r>
      <w:r w:rsidR="009F3C98">
        <w:t xml:space="preserve">                                                                                                                        </w:t>
      </w:r>
      <w:r>
        <w:t xml:space="preserve">О.А. </w:t>
      </w:r>
      <w:r w:rsidR="00F275E6">
        <w:t>Кудряшова</w:t>
      </w:r>
    </w:p>
    <w:p w:rsidR="000E4A01" w:rsidRDefault="000E4A01" w:rsidP="000E4A01">
      <w:pPr>
        <w:pStyle w:val="a3"/>
        <w:spacing w:after="202" w:afterAutospacing="0"/>
      </w:pPr>
    </w:p>
    <w:p w:rsidR="00A55893" w:rsidRDefault="00A55893"/>
    <w:sectPr w:rsidR="00A55893" w:rsidSect="0043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DC" w:rsidRDefault="001A73DC" w:rsidP="005577CA">
      <w:pPr>
        <w:spacing w:after="0" w:line="240" w:lineRule="auto"/>
      </w:pPr>
      <w:r>
        <w:separator/>
      </w:r>
    </w:p>
  </w:endnote>
  <w:endnote w:type="continuationSeparator" w:id="0">
    <w:p w:rsidR="001A73DC" w:rsidRDefault="001A73DC" w:rsidP="0055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DC" w:rsidRDefault="001A73DC" w:rsidP="005577CA">
      <w:pPr>
        <w:spacing w:after="0" w:line="240" w:lineRule="auto"/>
      </w:pPr>
      <w:r>
        <w:separator/>
      </w:r>
    </w:p>
  </w:footnote>
  <w:footnote w:type="continuationSeparator" w:id="0">
    <w:p w:rsidR="001A73DC" w:rsidRDefault="001A73DC" w:rsidP="005577CA">
      <w:pPr>
        <w:spacing w:after="0" w:line="240" w:lineRule="auto"/>
      </w:pPr>
      <w:r>
        <w:continuationSeparator/>
      </w:r>
    </w:p>
  </w:footnote>
  <w:footnote w:id="1">
    <w:p w:rsidR="002F26E8" w:rsidRDefault="002F26E8" w:rsidP="002F26E8">
      <w:pPr>
        <w:pStyle w:val="a4"/>
      </w:pPr>
      <w:r>
        <w:rPr>
          <w:rStyle w:val="a6"/>
        </w:rPr>
        <w:footnoteRef/>
      </w:r>
      <w:r>
        <w:t xml:space="preserve"> Например, Доклад Уполномоченного по правам человека за 2006 год</w:t>
      </w:r>
    </w:p>
  </w:footnote>
  <w:footnote w:id="2">
    <w:p w:rsidR="00B22A6A" w:rsidRDefault="00B22A6A">
      <w:pPr>
        <w:pStyle w:val="a4"/>
      </w:pPr>
      <w:r>
        <w:rPr>
          <w:rStyle w:val="a6"/>
        </w:rPr>
        <w:footnoteRef/>
      </w:r>
      <w:r>
        <w:t xml:space="preserve"> Например, Определение от 21.12.2011 № 1807-О-О, от 17.11.11 № 1536-О-О, от 04.10.11 № 1309-О-О, от 20.10.11 № 1328-О-О</w:t>
      </w:r>
    </w:p>
  </w:footnote>
  <w:footnote w:id="3">
    <w:p w:rsidR="005577CA" w:rsidRDefault="005577CA">
      <w:pPr>
        <w:pStyle w:val="a4"/>
      </w:pPr>
      <w:r>
        <w:rPr>
          <w:rStyle w:val="a6"/>
        </w:rPr>
        <w:footnoteRef/>
      </w:r>
      <w:r>
        <w:t xml:space="preserve"> См., например, Р.Давид</w:t>
      </w:r>
      <w:r w:rsidR="009F3C98">
        <w:t>.</w:t>
      </w:r>
      <w:r>
        <w:t xml:space="preserve"> Основные правовые системы современности. М. 1967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4A01"/>
    <w:rsid w:val="000E4A01"/>
    <w:rsid w:val="000E7932"/>
    <w:rsid w:val="001A73DC"/>
    <w:rsid w:val="002A4976"/>
    <w:rsid w:val="002F26E8"/>
    <w:rsid w:val="00437F18"/>
    <w:rsid w:val="00445381"/>
    <w:rsid w:val="00465A91"/>
    <w:rsid w:val="00537869"/>
    <w:rsid w:val="00550FF9"/>
    <w:rsid w:val="005577CA"/>
    <w:rsid w:val="005F1848"/>
    <w:rsid w:val="00886C3A"/>
    <w:rsid w:val="009F3C98"/>
    <w:rsid w:val="00A55893"/>
    <w:rsid w:val="00B22A6A"/>
    <w:rsid w:val="00BF7672"/>
    <w:rsid w:val="00CD5203"/>
    <w:rsid w:val="00D44383"/>
    <w:rsid w:val="00E8408F"/>
    <w:rsid w:val="00F2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7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7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77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2337-3086-4954-87E6-0FD07B04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Пользователь Windows</cp:lastModifiedBy>
  <cp:revision>3</cp:revision>
  <dcterms:created xsi:type="dcterms:W3CDTF">2012-06-08T09:01:00Z</dcterms:created>
  <dcterms:modified xsi:type="dcterms:W3CDTF">2012-06-08T09:07:00Z</dcterms:modified>
</cp:coreProperties>
</file>